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A106" w14:textId="00D08BB6" w:rsidR="00096BEE" w:rsidRDefault="00096BEE" w:rsidP="00096BE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73F53B36" w14:textId="77777777" w:rsidR="00096BEE" w:rsidRDefault="00096BEE" w:rsidP="00096BEE">
      <w:pPr>
        <w:pStyle w:val="Default"/>
        <w:jc w:val="center"/>
        <w:rPr>
          <w:sz w:val="22"/>
          <w:szCs w:val="22"/>
        </w:rPr>
      </w:pPr>
    </w:p>
    <w:p w14:paraId="7C993154" w14:textId="5782CAFD" w:rsidR="00096BEE" w:rsidRDefault="00096BEE" w:rsidP="00096BEE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Zgodnie z art 72 w zw. z art 91d pkt 1</w:t>
      </w:r>
      <w:r>
        <w:rPr>
          <w:sz w:val="22"/>
          <w:szCs w:val="22"/>
        </w:rPr>
        <w:t xml:space="preserve"> ustawy z dnia 26 stycznia 1982 r. Karta Nauczyciela</w:t>
      </w:r>
      <w:r>
        <w:rPr>
          <w:sz w:val="22"/>
          <w:szCs w:val="22"/>
        </w:rPr>
        <w:t xml:space="preserve"> należy podjąć uchwałę, która określa regulamin funduszu zdrowotnego dla nauczycieli w szkołach,</w:t>
      </w:r>
      <w:r>
        <w:rPr>
          <w:sz w:val="22"/>
          <w:szCs w:val="22"/>
        </w:rPr>
        <w:t xml:space="preserve"> przedszkolach i oddziałach przedszkolnych,</w:t>
      </w:r>
      <w:r>
        <w:rPr>
          <w:sz w:val="22"/>
          <w:szCs w:val="22"/>
        </w:rPr>
        <w:t xml:space="preserve"> dla których organem prowadzącym jest Gmina</w:t>
      </w:r>
      <w:r>
        <w:rPr>
          <w:sz w:val="22"/>
          <w:szCs w:val="22"/>
        </w:rPr>
        <w:t xml:space="preserve"> Miejska Kętrzyn</w:t>
      </w:r>
      <w:r>
        <w:rPr>
          <w:sz w:val="22"/>
          <w:szCs w:val="22"/>
        </w:rPr>
        <w:t xml:space="preserve">. </w:t>
      </w:r>
    </w:p>
    <w:p w14:paraId="1C064EAA" w14:textId="4567971D" w:rsidR="00096BEE" w:rsidRDefault="00096BEE" w:rsidP="00096BEE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Powołany przepis stanowi, że do kompetencji gminy należy określenie rodzaju świadczeń, warunków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 sposobów przyznawania pomocy w ramach funduszu zdrowotnego. </w:t>
      </w:r>
      <w:r>
        <w:rPr>
          <w:sz w:val="22"/>
          <w:szCs w:val="22"/>
        </w:rPr>
        <w:t xml:space="preserve">Przedstawiony projekt uchwały został zaopiniowany przez związki zawodowe. </w:t>
      </w:r>
    </w:p>
    <w:p w14:paraId="730EF863" w14:textId="5B8C8794" w:rsidR="00EB056B" w:rsidRDefault="00EB056B" w:rsidP="00096BEE">
      <w:pPr>
        <w:spacing w:after="0" w:line="360" w:lineRule="auto"/>
        <w:jc w:val="both"/>
        <w:rPr>
          <w:rFonts w:ascii="Times New Roman PSMT" w:hAnsi="Times New Roman PSMT" w:cs="Times New Roman PSMT"/>
          <w:sz w:val="18"/>
          <w:szCs w:val="18"/>
        </w:rPr>
      </w:pPr>
    </w:p>
    <w:p w14:paraId="049239D1" w14:textId="77777777" w:rsidR="00096BEE" w:rsidRDefault="00096BEE" w:rsidP="00096BEE">
      <w:pPr>
        <w:jc w:val="both"/>
      </w:pPr>
    </w:p>
    <w:sectPr w:rsidR="0009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EE"/>
    <w:rsid w:val="00096BEE"/>
    <w:rsid w:val="00A93E07"/>
    <w:rsid w:val="00EB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5318"/>
  <w15:chartTrackingRefBased/>
  <w15:docId w15:val="{B84F68F8-31A2-4413-8F7C-B248C7AC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6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6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6B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B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B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B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B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B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6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6B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B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6B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B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B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6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Stankiewicz</dc:creator>
  <cp:keywords/>
  <dc:description/>
  <cp:lastModifiedBy>Monika Stankiewicz</cp:lastModifiedBy>
  <cp:revision>1</cp:revision>
  <dcterms:created xsi:type="dcterms:W3CDTF">2024-11-18T09:57:00Z</dcterms:created>
  <dcterms:modified xsi:type="dcterms:W3CDTF">2024-11-18T10:01:00Z</dcterms:modified>
</cp:coreProperties>
</file>